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605" w:rsidRPr="00BF7605" w:rsidRDefault="00BF7605" w:rsidP="00BF7605">
      <w:pPr>
        <w:spacing w:before="100" w:beforeAutospacing="1" w:after="100" w:afterAutospacing="1" w:line="240" w:lineRule="auto"/>
        <w:rPr>
          <w:rFonts w:ascii="Times New Roman" w:eastAsia="Times New Roman" w:hAnsi="Times New Roman" w:cs="Times New Roman"/>
          <w:sz w:val="20"/>
          <w:szCs w:val="20"/>
          <w:lang w:eastAsia="tr-TR"/>
        </w:rPr>
      </w:pPr>
      <w:r w:rsidRPr="00BF7605">
        <w:rPr>
          <w:rFonts w:ascii="Lucida Bright" w:eastAsia="Times New Roman" w:hAnsi="Lucida Bright" w:cs="Times New Roman"/>
          <w:sz w:val="20"/>
          <w:szCs w:val="20"/>
          <w:shd w:val="clear" w:color="auto" w:fill="FFFFFF"/>
          <w:lang w:eastAsia="tr-TR"/>
        </w:rPr>
        <w:t> </w:t>
      </w:r>
    </w:p>
    <w:p w:rsidR="00BF7605" w:rsidRPr="00BF7605" w:rsidRDefault="00BF7605" w:rsidP="00BF7605">
      <w:pPr>
        <w:spacing w:before="100" w:beforeAutospacing="1" w:after="100" w:afterAutospacing="1" w:line="240" w:lineRule="auto"/>
        <w:rPr>
          <w:rFonts w:ascii="Times New Roman" w:eastAsia="Times New Roman" w:hAnsi="Times New Roman" w:cs="Times New Roman"/>
          <w:sz w:val="20"/>
          <w:szCs w:val="20"/>
          <w:lang w:eastAsia="tr-TR"/>
        </w:rPr>
      </w:pPr>
      <w:r w:rsidRPr="00BF7605">
        <w:rPr>
          <w:rFonts w:ascii="Lucida Bright" w:eastAsia="Times New Roman" w:hAnsi="Lucida Bright" w:cs="Times New Roman"/>
          <w:b/>
          <w:bCs/>
          <w:sz w:val="20"/>
          <w:szCs w:val="20"/>
          <w:shd w:val="clear" w:color="auto" w:fill="FFFFFF"/>
          <w:lang w:eastAsia="tr-TR"/>
        </w:rPr>
        <w:t>MINI-WORKSHOP  on</w:t>
      </w:r>
      <w:r w:rsidRPr="00BF7605">
        <w:rPr>
          <w:rFonts w:ascii="Lucida Bright" w:eastAsia="Times New Roman" w:hAnsi="Lucida Bright" w:cs="Times New Roman"/>
          <w:sz w:val="20"/>
          <w:szCs w:val="20"/>
          <w:shd w:val="clear" w:color="auto" w:fill="FFFFFF"/>
          <w:lang w:eastAsia="tr-TR"/>
        </w:rPr>
        <w:t xml:space="preserve">  </w:t>
      </w:r>
      <w:r w:rsidRPr="00BF7605">
        <w:rPr>
          <w:rFonts w:ascii="Cambria Math" w:eastAsia="Times New Roman" w:hAnsi="Cambria Math" w:cs="Times New Roman"/>
          <w:b/>
          <w:bCs/>
          <w:sz w:val="20"/>
          <w:szCs w:val="20"/>
          <w:u w:val="single"/>
          <w:lang w:eastAsia="tr-TR"/>
        </w:rPr>
        <w:t>FINITE GROUPS AND THEIR AUTOMORPHISMS</w:t>
      </w:r>
    </w:p>
    <w:p w:rsidR="00BF7605" w:rsidRPr="00BF7605" w:rsidRDefault="00BF7605" w:rsidP="00BF7605">
      <w:pPr>
        <w:spacing w:before="100" w:beforeAutospacing="1" w:after="100" w:afterAutospacing="1" w:line="240" w:lineRule="auto"/>
        <w:rPr>
          <w:rFonts w:ascii="Times New Roman" w:eastAsia="Times New Roman" w:hAnsi="Times New Roman" w:cs="Times New Roman"/>
          <w:sz w:val="20"/>
          <w:szCs w:val="20"/>
          <w:lang w:eastAsia="tr-TR"/>
        </w:rPr>
      </w:pPr>
      <w:r w:rsidRPr="00BF7605">
        <w:rPr>
          <w:rFonts w:ascii="Lucida Bright" w:eastAsia="Times New Roman" w:hAnsi="Lucida Bright" w:cs="Times New Roman"/>
          <w:b/>
          <w:bCs/>
          <w:sz w:val="20"/>
          <w:szCs w:val="20"/>
          <w:lang w:eastAsia="tr-TR"/>
        </w:rPr>
        <w:t>Abstracts of the Workshop Presentations</w:t>
      </w:r>
    </w:p>
    <w:p w:rsidR="00BF7605" w:rsidRPr="00BF7605" w:rsidRDefault="00BF7605" w:rsidP="00BF7605">
      <w:pPr>
        <w:shd w:val="clear" w:color="auto" w:fill="FFFFFF"/>
        <w:spacing w:before="210" w:after="210" w:line="240" w:lineRule="auto"/>
        <w:rPr>
          <w:rFonts w:ascii="Times New Roman" w:eastAsia="Times New Roman" w:hAnsi="Times New Roman" w:cs="Times New Roman"/>
          <w:sz w:val="20"/>
          <w:szCs w:val="20"/>
          <w:lang w:eastAsia="tr-TR"/>
        </w:rPr>
      </w:pPr>
      <w:r w:rsidRPr="00BF7605">
        <w:rPr>
          <w:rFonts w:ascii="Lucida Bright" w:eastAsia="Times New Roman" w:hAnsi="Lucida Bright" w:cs="Times New Roman"/>
          <w:b/>
          <w:bCs/>
          <w:i/>
          <w:iCs/>
          <w:color w:val="000000"/>
          <w:sz w:val="20"/>
          <w:szCs w:val="20"/>
          <w:u w:val="single"/>
          <w:shd w:val="clear" w:color="auto" w:fill="FFFFFF"/>
          <w:lang w:val="en-US" w:eastAsia="tr-TR"/>
        </w:rPr>
        <w:t xml:space="preserve">Marian </w:t>
      </w:r>
      <w:proofErr w:type="spellStart"/>
      <w:r w:rsidRPr="00BF7605">
        <w:rPr>
          <w:rFonts w:ascii="Lucida Bright" w:eastAsia="Times New Roman" w:hAnsi="Lucida Bright" w:cs="Times New Roman"/>
          <w:b/>
          <w:bCs/>
          <w:i/>
          <w:iCs/>
          <w:color w:val="000000"/>
          <w:sz w:val="20"/>
          <w:szCs w:val="20"/>
          <w:u w:val="single"/>
          <w:shd w:val="clear" w:color="auto" w:fill="FFFFFF"/>
          <w:lang w:val="en-US" w:eastAsia="tr-TR"/>
        </w:rPr>
        <w:t>Deaconescu</w:t>
      </w:r>
      <w:proofErr w:type="spellEnd"/>
      <w:r w:rsidRPr="00BF7605">
        <w:rPr>
          <w:rFonts w:ascii="Lucida Bright" w:eastAsia="Times New Roman" w:hAnsi="Lucida Bright" w:cs="Times New Roman"/>
          <w:i/>
          <w:iCs/>
          <w:color w:val="000000"/>
          <w:sz w:val="20"/>
          <w:szCs w:val="20"/>
          <w:u w:val="single"/>
          <w:shd w:val="clear" w:color="auto" w:fill="FFFFFF"/>
          <w:lang w:val="en-US" w:eastAsia="tr-TR"/>
        </w:rPr>
        <w:t>, An introduction to group actions. </w:t>
      </w:r>
    </w:p>
    <w:p w:rsidR="00BF7605" w:rsidRPr="00BF7605" w:rsidRDefault="00BF7605" w:rsidP="00BF7605">
      <w:pPr>
        <w:shd w:val="clear" w:color="auto" w:fill="FFFFFF"/>
        <w:spacing w:before="210" w:after="210" w:line="240" w:lineRule="auto"/>
        <w:rPr>
          <w:rFonts w:ascii="Times New Roman" w:eastAsia="Times New Roman" w:hAnsi="Times New Roman" w:cs="Times New Roman"/>
          <w:sz w:val="20"/>
          <w:szCs w:val="20"/>
          <w:lang w:eastAsia="tr-TR"/>
        </w:rPr>
      </w:pPr>
      <w:r w:rsidRPr="00BF7605">
        <w:rPr>
          <w:rFonts w:ascii="Lucida Bright" w:eastAsia="Times New Roman" w:hAnsi="Lucida Bright" w:cs="Times New Roman"/>
          <w:color w:val="000000"/>
          <w:sz w:val="20"/>
          <w:szCs w:val="20"/>
          <w:shd w:val="clear" w:color="auto" w:fill="FFFFFF"/>
          <w:lang w:val="en-US" w:eastAsia="tr-TR"/>
        </w:rPr>
        <w:t xml:space="preserve">My lectures will focus on some of the most general (you might read ''shallow'', or, ''not deep'', or ''elementary'') aspects of the action of a finite group A which acts via </w:t>
      </w:r>
      <w:proofErr w:type="spellStart"/>
      <w:r w:rsidRPr="00BF7605">
        <w:rPr>
          <w:rFonts w:ascii="Lucida Bright" w:eastAsia="Times New Roman" w:hAnsi="Lucida Bright" w:cs="Times New Roman"/>
          <w:color w:val="000000"/>
          <w:sz w:val="20"/>
          <w:szCs w:val="20"/>
          <w:shd w:val="clear" w:color="auto" w:fill="FFFFFF"/>
          <w:lang w:val="en-US" w:eastAsia="tr-TR"/>
        </w:rPr>
        <w:t>automorphisms</w:t>
      </w:r>
      <w:proofErr w:type="spellEnd"/>
      <w:r w:rsidRPr="00BF7605">
        <w:rPr>
          <w:rFonts w:ascii="Lucida Bright" w:eastAsia="Times New Roman" w:hAnsi="Lucida Bright" w:cs="Times New Roman"/>
          <w:color w:val="000000"/>
          <w:sz w:val="20"/>
          <w:szCs w:val="20"/>
          <w:shd w:val="clear" w:color="auto" w:fill="FFFFFF"/>
          <w:lang w:val="en-US" w:eastAsia="tr-TR"/>
        </w:rPr>
        <w:t xml:space="preserve"> on a finite group G.</w:t>
      </w:r>
      <w:r w:rsidRPr="00BF7605">
        <w:rPr>
          <w:rFonts w:ascii="Lucida Bright" w:eastAsia="Times New Roman" w:hAnsi="Lucida Bright" w:cs="Times New Roman"/>
          <w:color w:val="000000"/>
          <w:sz w:val="20"/>
          <w:szCs w:val="20"/>
          <w:shd w:val="clear" w:color="auto" w:fill="FFFFFF"/>
          <w:lang w:val="en-US" w:eastAsia="tr-TR"/>
        </w:rPr>
        <w:br/>
      </w:r>
      <w:r w:rsidRPr="00BF7605">
        <w:rPr>
          <w:rFonts w:ascii="Lucida Bright" w:eastAsia="Times New Roman" w:hAnsi="Lucida Bright" w:cs="Times New Roman"/>
          <w:color w:val="000000"/>
          <w:sz w:val="20"/>
          <w:szCs w:val="20"/>
          <w:shd w:val="clear" w:color="auto" w:fill="FFFFFF"/>
          <w:lang w:val="en-US" w:eastAsia="tr-TR"/>
        </w:rPr>
        <w:br/>
        <w:t>I think that, today, the general theory (in the context described above) is in its infancy and I am ready to babble something on these lines.</w:t>
      </w:r>
      <w:r w:rsidRPr="00BF7605">
        <w:rPr>
          <w:rFonts w:ascii="Lucida Bright" w:eastAsia="Times New Roman" w:hAnsi="Lucida Bright" w:cs="Times New Roman"/>
          <w:color w:val="000000"/>
          <w:sz w:val="20"/>
          <w:szCs w:val="20"/>
          <w:shd w:val="clear" w:color="auto" w:fill="FFFFFF"/>
          <w:lang w:val="en-US" w:eastAsia="tr-TR"/>
        </w:rPr>
        <w:br/>
      </w:r>
      <w:r w:rsidRPr="00BF7605">
        <w:rPr>
          <w:rFonts w:ascii="Lucida Bright" w:eastAsia="Times New Roman" w:hAnsi="Lucida Bright" w:cs="Times New Roman"/>
          <w:color w:val="000000"/>
          <w:sz w:val="20"/>
          <w:szCs w:val="20"/>
          <w:shd w:val="clear" w:color="auto" w:fill="FFFFFF"/>
          <w:lang w:val="en-US" w:eastAsia="tr-TR"/>
        </w:rPr>
        <w:br/>
        <w:t xml:space="preserve">I plan to start from first principles, giving (?) boring proofs of three lines, and finishing with things (yes, elementary mathematics can be surprising) that give an answer to an old problem (no, not an ''old open question'', for nobody believed that this question could be ever answered...) that preoccupied both Dedekind and </w:t>
      </w:r>
      <w:proofErr w:type="spellStart"/>
      <w:r w:rsidRPr="00BF7605">
        <w:rPr>
          <w:rFonts w:ascii="Lucida Bright" w:eastAsia="Times New Roman" w:hAnsi="Lucida Bright" w:cs="Times New Roman"/>
          <w:color w:val="000000"/>
          <w:sz w:val="20"/>
          <w:szCs w:val="20"/>
          <w:shd w:val="clear" w:color="auto" w:fill="FFFFFF"/>
          <w:lang w:val="en-US" w:eastAsia="tr-TR"/>
        </w:rPr>
        <w:t>Frobenius</w:t>
      </w:r>
      <w:proofErr w:type="spellEnd"/>
      <w:r w:rsidRPr="00BF7605">
        <w:rPr>
          <w:rFonts w:ascii="Lucida Bright" w:eastAsia="Times New Roman" w:hAnsi="Lucida Bright" w:cs="Times New Roman"/>
          <w:color w:val="000000"/>
          <w:sz w:val="20"/>
          <w:szCs w:val="20"/>
          <w:shd w:val="clear" w:color="auto" w:fill="FFFFFF"/>
          <w:lang w:val="en-US" w:eastAsia="tr-TR"/>
        </w:rPr>
        <w:t xml:space="preserve"> around 1890: when is a product of two </w:t>
      </w:r>
      <w:proofErr w:type="spellStart"/>
      <w:r w:rsidRPr="00BF7605">
        <w:rPr>
          <w:rFonts w:ascii="Lucida Bright" w:eastAsia="Times New Roman" w:hAnsi="Lucida Bright" w:cs="Times New Roman"/>
          <w:color w:val="000000"/>
          <w:sz w:val="20"/>
          <w:szCs w:val="20"/>
          <w:shd w:val="clear" w:color="auto" w:fill="FFFFFF"/>
          <w:lang w:val="en-US" w:eastAsia="tr-TR"/>
        </w:rPr>
        <w:t>commutators</w:t>
      </w:r>
      <w:proofErr w:type="spellEnd"/>
      <w:r w:rsidRPr="00BF7605">
        <w:rPr>
          <w:rFonts w:ascii="Lucida Bright" w:eastAsia="Times New Roman" w:hAnsi="Lucida Bright" w:cs="Times New Roman"/>
          <w:color w:val="000000"/>
          <w:sz w:val="20"/>
          <w:szCs w:val="20"/>
          <w:shd w:val="clear" w:color="auto" w:fill="FFFFFF"/>
          <w:lang w:val="en-US" w:eastAsia="tr-TR"/>
        </w:rPr>
        <w:t xml:space="preserve"> in a finite group again a </w:t>
      </w:r>
      <w:proofErr w:type="spellStart"/>
      <w:r w:rsidRPr="00BF7605">
        <w:rPr>
          <w:rFonts w:ascii="Lucida Bright" w:eastAsia="Times New Roman" w:hAnsi="Lucida Bright" w:cs="Times New Roman"/>
          <w:color w:val="000000"/>
          <w:sz w:val="20"/>
          <w:szCs w:val="20"/>
          <w:shd w:val="clear" w:color="auto" w:fill="FFFFFF"/>
          <w:lang w:val="en-US" w:eastAsia="tr-TR"/>
        </w:rPr>
        <w:t>commutator</w:t>
      </w:r>
      <w:proofErr w:type="spellEnd"/>
      <w:r w:rsidRPr="00BF7605">
        <w:rPr>
          <w:rFonts w:ascii="Lucida Bright" w:eastAsia="Times New Roman" w:hAnsi="Lucida Bright" w:cs="Times New Roman"/>
          <w:color w:val="000000"/>
          <w:sz w:val="20"/>
          <w:szCs w:val="20"/>
          <w:shd w:val="clear" w:color="auto" w:fill="FFFFFF"/>
          <w:lang w:val="en-US" w:eastAsia="tr-TR"/>
        </w:rPr>
        <w:t>?</w:t>
      </w:r>
      <w:r w:rsidRPr="00BF7605">
        <w:rPr>
          <w:rFonts w:ascii="Lucida Bright" w:eastAsia="Times New Roman" w:hAnsi="Lucida Bright" w:cs="Times New Roman"/>
          <w:color w:val="000000"/>
          <w:sz w:val="20"/>
          <w:szCs w:val="20"/>
          <w:shd w:val="clear" w:color="auto" w:fill="FFFFFF"/>
          <w:lang w:val="en-US" w:eastAsia="tr-TR"/>
        </w:rPr>
        <w:br/>
      </w:r>
      <w:r w:rsidRPr="00BF7605">
        <w:rPr>
          <w:rFonts w:ascii="Lucida Bright" w:eastAsia="Times New Roman" w:hAnsi="Lucida Bright" w:cs="Times New Roman"/>
          <w:color w:val="000000"/>
          <w:sz w:val="20"/>
          <w:szCs w:val="20"/>
          <w:shd w:val="clear" w:color="auto" w:fill="FFFFFF"/>
          <w:lang w:val="en-US" w:eastAsia="tr-TR"/>
        </w:rPr>
        <w:br/>
        <w:t xml:space="preserve">Applications to number theory will be also presented, including a characterization of the </w:t>
      </w:r>
      <w:proofErr w:type="spellStart"/>
      <w:r w:rsidRPr="00BF7605">
        <w:rPr>
          <w:rFonts w:ascii="Lucida Bright" w:eastAsia="Times New Roman" w:hAnsi="Lucida Bright" w:cs="Times New Roman"/>
          <w:color w:val="000000"/>
          <w:sz w:val="20"/>
          <w:szCs w:val="20"/>
          <w:shd w:val="clear" w:color="auto" w:fill="FFFFFF"/>
          <w:lang w:val="en-US" w:eastAsia="tr-TR"/>
        </w:rPr>
        <w:t>Mersenne</w:t>
      </w:r>
      <w:proofErr w:type="spellEnd"/>
      <w:r w:rsidRPr="00BF7605">
        <w:rPr>
          <w:rFonts w:ascii="Lucida Bright" w:eastAsia="Times New Roman" w:hAnsi="Lucida Bright" w:cs="Times New Roman"/>
          <w:color w:val="000000"/>
          <w:sz w:val="20"/>
          <w:szCs w:val="20"/>
          <w:shd w:val="clear" w:color="auto" w:fill="FFFFFF"/>
          <w:lang w:val="en-US" w:eastAsia="tr-TR"/>
        </w:rPr>
        <w:t xml:space="preserve"> primes. </w:t>
      </w:r>
      <w:r w:rsidRPr="00BF7605">
        <w:rPr>
          <w:rFonts w:ascii="Lucida Bright" w:eastAsia="Times New Roman" w:hAnsi="Lucida Bright" w:cs="Times New Roman"/>
          <w:color w:val="000000"/>
          <w:sz w:val="20"/>
          <w:szCs w:val="20"/>
          <w:shd w:val="clear" w:color="auto" w:fill="FFFFFF"/>
          <w:lang w:val="en-US" w:eastAsia="tr-TR"/>
        </w:rPr>
        <w:br/>
      </w:r>
      <w:r w:rsidRPr="00BF7605">
        <w:rPr>
          <w:rFonts w:ascii="Lucida Bright" w:eastAsia="Times New Roman" w:hAnsi="Lucida Bright" w:cs="Times New Roman"/>
          <w:color w:val="000000"/>
          <w:sz w:val="20"/>
          <w:szCs w:val="20"/>
          <w:shd w:val="clear" w:color="auto" w:fill="FFFFFF"/>
          <w:lang w:val="en-US" w:eastAsia="tr-TR"/>
        </w:rPr>
        <w:br/>
        <w:t xml:space="preserve">I am ''old </w:t>
      </w:r>
      <w:proofErr w:type="gramStart"/>
      <w:r w:rsidRPr="00BF7605">
        <w:rPr>
          <w:rFonts w:ascii="Lucida Bright" w:eastAsia="Times New Roman" w:hAnsi="Lucida Bright" w:cs="Times New Roman"/>
          <w:color w:val="000000"/>
          <w:sz w:val="20"/>
          <w:szCs w:val="20"/>
          <w:shd w:val="clear" w:color="auto" w:fill="FFFFFF"/>
          <w:lang w:val="en-US" w:eastAsia="tr-TR"/>
        </w:rPr>
        <w:t>school'' ,</w:t>
      </w:r>
      <w:proofErr w:type="gramEnd"/>
      <w:r w:rsidRPr="00BF7605">
        <w:rPr>
          <w:rFonts w:ascii="Lucida Bright" w:eastAsia="Times New Roman" w:hAnsi="Lucida Bright" w:cs="Times New Roman"/>
          <w:color w:val="000000"/>
          <w:sz w:val="20"/>
          <w:szCs w:val="20"/>
          <w:shd w:val="clear" w:color="auto" w:fill="FFFFFF"/>
          <w:lang w:val="en-US" w:eastAsia="tr-TR"/>
        </w:rPr>
        <w:t xml:space="preserve"> I will write on a board (with aiding notes and glasses at hand), so please bring your pens and your notebooks...</w:t>
      </w:r>
      <w:r w:rsidRPr="00BF7605">
        <w:rPr>
          <w:rFonts w:ascii="Lucida Bright" w:eastAsia="Times New Roman" w:hAnsi="Lucida Bright" w:cs="Times New Roman"/>
          <w:color w:val="000000"/>
          <w:sz w:val="20"/>
          <w:szCs w:val="20"/>
          <w:shd w:val="clear" w:color="auto" w:fill="FFFFFF"/>
          <w:lang w:val="en-US" w:eastAsia="tr-TR"/>
        </w:rPr>
        <w:br/>
      </w:r>
      <w:r w:rsidRPr="00BF7605">
        <w:rPr>
          <w:rFonts w:ascii="Lucida Bright" w:eastAsia="Times New Roman" w:hAnsi="Lucida Bright" w:cs="Times New Roman"/>
          <w:color w:val="000000"/>
          <w:sz w:val="20"/>
          <w:szCs w:val="20"/>
          <w:shd w:val="clear" w:color="auto" w:fill="FFFFFF"/>
          <w:lang w:eastAsia="tr-TR"/>
        </w:rPr>
        <w:t>------------------------------------------------------------------------------------------------------------------------------</w:t>
      </w:r>
    </w:p>
    <w:p w:rsidR="00BF7605" w:rsidRPr="00BF7605" w:rsidRDefault="00BF7605" w:rsidP="00BF7605">
      <w:pPr>
        <w:shd w:val="clear" w:color="auto" w:fill="FFFFFF"/>
        <w:spacing w:before="210" w:after="210" w:line="240" w:lineRule="auto"/>
        <w:rPr>
          <w:rFonts w:ascii="Times New Roman" w:eastAsia="Times New Roman" w:hAnsi="Times New Roman" w:cs="Times New Roman"/>
          <w:sz w:val="20"/>
          <w:szCs w:val="20"/>
          <w:lang w:eastAsia="tr-TR"/>
        </w:rPr>
      </w:pPr>
      <w:r w:rsidRPr="00BF7605">
        <w:rPr>
          <w:rFonts w:ascii="Lucida Bright" w:eastAsia="Times New Roman" w:hAnsi="Lucida Bright" w:cs="Times New Roman"/>
          <w:color w:val="000000"/>
          <w:sz w:val="20"/>
          <w:szCs w:val="20"/>
          <w:shd w:val="clear" w:color="auto" w:fill="FFFFFF"/>
          <w:lang w:val="en-US" w:eastAsia="tr-TR"/>
        </w:rPr>
        <w:t>  </w:t>
      </w:r>
      <w:r w:rsidRPr="00BF7605">
        <w:rPr>
          <w:rFonts w:ascii="Lucida Bright" w:eastAsia="Times New Roman" w:hAnsi="Lucida Bright" w:cs="Times New Roman"/>
          <w:b/>
          <w:bCs/>
          <w:i/>
          <w:iCs/>
          <w:color w:val="000000"/>
          <w:sz w:val="20"/>
          <w:szCs w:val="20"/>
          <w:u w:val="single"/>
          <w:shd w:val="clear" w:color="auto" w:fill="FFFFFF"/>
          <w:lang w:val="en-US" w:eastAsia="tr-TR"/>
        </w:rPr>
        <w:t xml:space="preserve">Gulin </w:t>
      </w:r>
      <w:proofErr w:type="spellStart"/>
      <w:r w:rsidRPr="00BF7605">
        <w:rPr>
          <w:rFonts w:ascii="Lucida Bright" w:eastAsia="Times New Roman" w:hAnsi="Lucida Bright" w:cs="Times New Roman"/>
          <w:b/>
          <w:bCs/>
          <w:i/>
          <w:iCs/>
          <w:color w:val="000000"/>
          <w:sz w:val="20"/>
          <w:szCs w:val="20"/>
          <w:u w:val="single"/>
          <w:shd w:val="clear" w:color="auto" w:fill="FFFFFF"/>
          <w:lang w:val="en-US" w:eastAsia="tr-TR"/>
        </w:rPr>
        <w:t>Ercan</w:t>
      </w:r>
      <w:proofErr w:type="spellEnd"/>
      <w:r w:rsidRPr="00BF7605">
        <w:rPr>
          <w:rFonts w:ascii="Lucida Bright" w:eastAsia="Times New Roman" w:hAnsi="Lucida Bright" w:cs="Times New Roman"/>
          <w:i/>
          <w:iCs/>
          <w:color w:val="000000"/>
          <w:sz w:val="20"/>
          <w:szCs w:val="20"/>
          <w:u w:val="single"/>
          <w:shd w:val="clear" w:color="auto" w:fill="FFFFFF"/>
          <w:lang w:val="en-US" w:eastAsia="tr-TR"/>
        </w:rPr>
        <w:t xml:space="preserve">, </w:t>
      </w:r>
      <w:proofErr w:type="spellStart"/>
      <w:r w:rsidRPr="00BF7605">
        <w:rPr>
          <w:rFonts w:ascii="Lucida Bright" w:eastAsia="Times New Roman" w:hAnsi="Lucida Bright" w:cs="Times New Roman"/>
          <w:i/>
          <w:iCs/>
          <w:color w:val="000000"/>
          <w:sz w:val="20"/>
          <w:szCs w:val="20"/>
          <w:u w:val="single"/>
          <w:shd w:val="clear" w:color="auto" w:fill="FFFFFF"/>
          <w:lang w:val="en-US" w:eastAsia="tr-TR"/>
        </w:rPr>
        <w:t>Frobenius</w:t>
      </w:r>
      <w:proofErr w:type="spellEnd"/>
      <w:r w:rsidRPr="00BF7605">
        <w:rPr>
          <w:rFonts w:ascii="Lucida Bright" w:eastAsia="Times New Roman" w:hAnsi="Lucida Bright" w:cs="Times New Roman"/>
          <w:i/>
          <w:iCs/>
          <w:color w:val="000000"/>
          <w:sz w:val="20"/>
          <w:szCs w:val="20"/>
          <w:u w:val="single"/>
          <w:shd w:val="clear" w:color="auto" w:fill="FFFFFF"/>
          <w:lang w:val="en-US" w:eastAsia="tr-TR"/>
        </w:rPr>
        <w:t xml:space="preserve">-like groups as groups of </w:t>
      </w:r>
      <w:proofErr w:type="spellStart"/>
      <w:r w:rsidRPr="00BF7605">
        <w:rPr>
          <w:rFonts w:ascii="Lucida Bright" w:eastAsia="Times New Roman" w:hAnsi="Lucida Bright" w:cs="Times New Roman"/>
          <w:i/>
          <w:iCs/>
          <w:color w:val="000000"/>
          <w:sz w:val="20"/>
          <w:szCs w:val="20"/>
          <w:u w:val="single"/>
          <w:shd w:val="clear" w:color="auto" w:fill="FFFFFF"/>
          <w:lang w:val="en-US" w:eastAsia="tr-TR"/>
        </w:rPr>
        <w:t>automorphisms</w:t>
      </w:r>
      <w:proofErr w:type="spellEnd"/>
      <w:r w:rsidRPr="00BF7605">
        <w:rPr>
          <w:rFonts w:ascii="Lucida Bright" w:eastAsia="Times New Roman" w:hAnsi="Lucida Bright" w:cs="Times New Roman"/>
          <w:i/>
          <w:iCs/>
          <w:color w:val="000000"/>
          <w:sz w:val="20"/>
          <w:szCs w:val="20"/>
          <w:u w:val="single"/>
          <w:shd w:val="clear" w:color="auto" w:fill="FFFFFF"/>
          <w:lang w:val="en-US" w:eastAsia="tr-TR"/>
        </w:rPr>
        <w:t xml:space="preserve">. </w:t>
      </w:r>
    </w:p>
    <w:p w:rsidR="00BF7605" w:rsidRPr="00BF7605" w:rsidRDefault="00BF7605" w:rsidP="00BF7605">
      <w:pPr>
        <w:shd w:val="clear" w:color="auto" w:fill="FFFFFF"/>
        <w:spacing w:before="210" w:after="210" w:line="240" w:lineRule="auto"/>
        <w:rPr>
          <w:rFonts w:ascii="Times New Roman" w:eastAsia="Times New Roman" w:hAnsi="Times New Roman" w:cs="Times New Roman"/>
          <w:sz w:val="20"/>
          <w:szCs w:val="20"/>
          <w:lang w:eastAsia="tr-TR"/>
        </w:rPr>
      </w:pPr>
      <w:r w:rsidRPr="00BF7605">
        <w:rPr>
          <w:rFonts w:ascii="Lucida Bright" w:eastAsia="Times New Roman" w:hAnsi="Lucida Bright" w:cs="Times New Roman"/>
          <w:color w:val="000000"/>
          <w:sz w:val="20"/>
          <w:szCs w:val="20"/>
          <w:lang w:val="en-US" w:eastAsia="tr-TR"/>
        </w:rPr>
        <w:t xml:space="preserve">These talks will discuss some developments about the structure of finite groups admitting a </w:t>
      </w:r>
      <w:proofErr w:type="spellStart"/>
      <w:r w:rsidRPr="00BF7605">
        <w:rPr>
          <w:rFonts w:ascii="Lucida Bright" w:eastAsia="Times New Roman" w:hAnsi="Lucida Bright" w:cs="Times New Roman"/>
          <w:color w:val="000000"/>
          <w:sz w:val="20"/>
          <w:szCs w:val="20"/>
          <w:lang w:val="en-US" w:eastAsia="tr-TR"/>
        </w:rPr>
        <w:t>Frobenius</w:t>
      </w:r>
      <w:proofErr w:type="spellEnd"/>
      <w:r w:rsidRPr="00BF7605">
        <w:rPr>
          <w:rFonts w:ascii="Lucida Bright" w:eastAsia="Times New Roman" w:hAnsi="Lucida Bright" w:cs="Times New Roman"/>
          <w:color w:val="000000"/>
          <w:sz w:val="20"/>
          <w:szCs w:val="20"/>
          <w:lang w:val="en-US" w:eastAsia="tr-TR"/>
        </w:rPr>
        <w:t xml:space="preserve">-like group as a group of </w:t>
      </w:r>
      <w:proofErr w:type="spellStart"/>
      <w:r w:rsidRPr="00BF7605">
        <w:rPr>
          <w:rFonts w:ascii="Lucida Bright" w:eastAsia="Times New Roman" w:hAnsi="Lucida Bright" w:cs="Times New Roman"/>
          <w:color w:val="000000"/>
          <w:sz w:val="20"/>
          <w:szCs w:val="20"/>
          <w:lang w:val="en-US" w:eastAsia="tr-TR"/>
        </w:rPr>
        <w:t>automorphisms</w:t>
      </w:r>
      <w:proofErr w:type="spellEnd"/>
      <w:r w:rsidRPr="00BF7605">
        <w:rPr>
          <w:rFonts w:ascii="Lucida Bright" w:eastAsia="Times New Roman" w:hAnsi="Lucida Bright" w:cs="Times New Roman"/>
          <w:color w:val="000000"/>
          <w:sz w:val="20"/>
          <w:szCs w:val="20"/>
          <w:lang w:val="en-US" w:eastAsia="tr-TR"/>
        </w:rPr>
        <w:t>. This is essentially</w:t>
      </w:r>
      <w:r w:rsidRPr="00BF7605">
        <w:rPr>
          <w:rFonts w:ascii="Lucida Bright" w:eastAsia="Times New Roman" w:hAnsi="Lucida Bright" w:cs="Times New Roman"/>
          <w:color w:val="000000"/>
          <w:sz w:val="20"/>
          <w:szCs w:val="20"/>
          <w:shd w:val="clear" w:color="auto" w:fill="FFFFFF"/>
          <w:lang w:eastAsia="tr-TR"/>
        </w:rPr>
        <w:t xml:space="preserve"> a continuation and generalization of the research of Khukhro, Makarenko and Shumyatsky about the </w:t>
      </w:r>
      <w:r w:rsidRPr="00BF7605">
        <w:rPr>
          <w:rFonts w:ascii="Lucida Bright" w:eastAsia="Times New Roman" w:hAnsi="Lucida Bright" w:cs="Times New Roman"/>
          <w:color w:val="000000"/>
          <w:sz w:val="20"/>
          <w:szCs w:val="20"/>
          <w:lang w:val="en-US" w:eastAsia="tr-TR"/>
        </w:rPr>
        <w:t xml:space="preserve">structure of finite groups admitting a </w:t>
      </w:r>
      <w:proofErr w:type="spellStart"/>
      <w:r w:rsidRPr="00BF7605">
        <w:rPr>
          <w:rFonts w:ascii="Lucida Bright" w:eastAsia="Times New Roman" w:hAnsi="Lucida Bright" w:cs="Times New Roman"/>
          <w:color w:val="000000"/>
          <w:sz w:val="20"/>
          <w:szCs w:val="20"/>
          <w:lang w:val="en-US" w:eastAsia="tr-TR"/>
        </w:rPr>
        <w:t>Frobenius</w:t>
      </w:r>
      <w:proofErr w:type="spellEnd"/>
      <w:r w:rsidRPr="00BF7605">
        <w:rPr>
          <w:rFonts w:ascii="Lucida Bright" w:eastAsia="Times New Roman" w:hAnsi="Lucida Bright" w:cs="Times New Roman"/>
          <w:color w:val="000000"/>
          <w:sz w:val="20"/>
          <w:szCs w:val="20"/>
          <w:lang w:val="en-US" w:eastAsia="tr-TR"/>
        </w:rPr>
        <w:t xml:space="preserve"> group as a group of </w:t>
      </w:r>
      <w:proofErr w:type="spellStart"/>
      <w:r w:rsidRPr="00BF7605">
        <w:rPr>
          <w:rFonts w:ascii="Lucida Bright" w:eastAsia="Times New Roman" w:hAnsi="Lucida Bright" w:cs="Times New Roman"/>
          <w:color w:val="000000"/>
          <w:sz w:val="20"/>
          <w:szCs w:val="20"/>
          <w:lang w:val="en-US" w:eastAsia="tr-TR"/>
        </w:rPr>
        <w:t>automorphisms</w:t>
      </w:r>
      <w:proofErr w:type="spellEnd"/>
      <w:r w:rsidRPr="00BF7605">
        <w:rPr>
          <w:rFonts w:ascii="Lucida Bright" w:eastAsia="Times New Roman" w:hAnsi="Lucida Bright" w:cs="Times New Roman"/>
          <w:color w:val="000000"/>
          <w:sz w:val="20"/>
          <w:szCs w:val="20"/>
          <w:lang w:val="en-US" w:eastAsia="tr-TR"/>
        </w:rPr>
        <w:t>. For a first reading of the already realized research on that subject one can consult the papers:</w:t>
      </w:r>
    </w:p>
    <w:p w:rsidR="00BF7605" w:rsidRPr="00BF7605" w:rsidRDefault="00BF7605" w:rsidP="00BF7605">
      <w:pPr>
        <w:shd w:val="clear" w:color="auto" w:fill="FFFFFF"/>
        <w:spacing w:before="210" w:after="210" w:line="240" w:lineRule="auto"/>
        <w:rPr>
          <w:rFonts w:ascii="Times New Roman" w:eastAsia="Times New Roman" w:hAnsi="Times New Roman" w:cs="Times New Roman"/>
          <w:sz w:val="20"/>
          <w:szCs w:val="20"/>
          <w:lang w:eastAsia="tr-TR"/>
        </w:rPr>
      </w:pPr>
      <w:r w:rsidRPr="00BF7605">
        <w:rPr>
          <w:rFonts w:ascii="Lucida Bright" w:eastAsia="Times New Roman" w:hAnsi="Lucida Bright" w:cs="Times New Roman"/>
          <w:color w:val="000000"/>
          <w:sz w:val="20"/>
          <w:szCs w:val="20"/>
          <w:lang w:val="en-US" w:eastAsia="tr-TR"/>
        </w:rPr>
        <w:t>E.I.</w:t>
      </w:r>
      <w:proofErr w:type="spellStart"/>
      <w:r w:rsidRPr="00BF7605">
        <w:rPr>
          <w:rFonts w:ascii="Lucida Bright" w:eastAsia="Times New Roman" w:hAnsi="Lucida Bright" w:cs="Times New Roman"/>
          <w:color w:val="000000"/>
          <w:sz w:val="20"/>
          <w:szCs w:val="20"/>
          <w:lang w:val="en-US" w:eastAsia="tr-TR"/>
        </w:rPr>
        <w:t>Khukhro</w:t>
      </w:r>
      <w:proofErr w:type="spellEnd"/>
      <w:r w:rsidRPr="00BF7605">
        <w:rPr>
          <w:rFonts w:ascii="Lucida Bright" w:eastAsia="Times New Roman" w:hAnsi="Lucida Bright" w:cs="Times New Roman"/>
          <w:color w:val="000000"/>
          <w:sz w:val="20"/>
          <w:szCs w:val="20"/>
          <w:lang w:val="en-US" w:eastAsia="tr-TR"/>
        </w:rPr>
        <w:t xml:space="preserve">,”Fitting height of a finite group with a </w:t>
      </w:r>
      <w:proofErr w:type="spellStart"/>
      <w:r w:rsidRPr="00BF7605">
        <w:rPr>
          <w:rFonts w:ascii="Lucida Bright" w:eastAsia="Times New Roman" w:hAnsi="Lucida Bright" w:cs="Times New Roman"/>
          <w:color w:val="000000"/>
          <w:sz w:val="20"/>
          <w:szCs w:val="20"/>
          <w:lang w:val="en-US" w:eastAsia="tr-TR"/>
        </w:rPr>
        <w:t>Frobenius</w:t>
      </w:r>
      <w:proofErr w:type="spellEnd"/>
      <w:r w:rsidRPr="00BF7605">
        <w:rPr>
          <w:rFonts w:ascii="Lucida Bright" w:eastAsia="Times New Roman" w:hAnsi="Lucida Bright" w:cs="Times New Roman"/>
          <w:color w:val="000000"/>
          <w:sz w:val="20"/>
          <w:szCs w:val="20"/>
          <w:lang w:val="en-US" w:eastAsia="tr-TR"/>
        </w:rPr>
        <w:t xml:space="preserve"> group of </w:t>
      </w:r>
      <w:proofErr w:type="spellStart"/>
      <w:r w:rsidRPr="00BF7605">
        <w:rPr>
          <w:rFonts w:ascii="Lucida Bright" w:eastAsia="Times New Roman" w:hAnsi="Lucida Bright" w:cs="Times New Roman"/>
          <w:color w:val="000000"/>
          <w:sz w:val="20"/>
          <w:szCs w:val="20"/>
          <w:lang w:val="en-US" w:eastAsia="tr-TR"/>
        </w:rPr>
        <w:t>automorphisms</w:t>
      </w:r>
      <w:proofErr w:type="spellEnd"/>
      <w:r w:rsidRPr="00BF7605">
        <w:rPr>
          <w:rFonts w:ascii="Lucida Bright" w:eastAsia="Times New Roman" w:hAnsi="Lucida Bright" w:cs="Times New Roman"/>
          <w:color w:val="000000"/>
          <w:sz w:val="20"/>
          <w:szCs w:val="20"/>
          <w:lang w:val="en-US" w:eastAsia="tr-TR"/>
        </w:rPr>
        <w:t>”, J. Algebra 366, (2012), 1-11</w:t>
      </w:r>
    </w:p>
    <w:p w:rsidR="00BF7605" w:rsidRPr="00BF7605" w:rsidRDefault="00BF7605" w:rsidP="00BF7605">
      <w:pPr>
        <w:shd w:val="clear" w:color="auto" w:fill="FFFFFF"/>
        <w:spacing w:before="210" w:after="210" w:line="240" w:lineRule="auto"/>
        <w:rPr>
          <w:rFonts w:ascii="Times New Roman" w:eastAsia="Times New Roman" w:hAnsi="Times New Roman" w:cs="Times New Roman"/>
          <w:sz w:val="20"/>
          <w:szCs w:val="20"/>
          <w:lang w:eastAsia="tr-TR"/>
        </w:rPr>
      </w:pPr>
      <w:r w:rsidRPr="00BF7605">
        <w:rPr>
          <w:rFonts w:ascii="Lucida Bright" w:eastAsia="Times New Roman" w:hAnsi="Lucida Bright" w:cs="Times New Roman"/>
          <w:color w:val="000000"/>
          <w:sz w:val="20"/>
          <w:szCs w:val="20"/>
          <w:lang w:val="en-US" w:eastAsia="tr-TR"/>
        </w:rPr>
        <w:t>G.Ercan</w:t>
      </w:r>
      <w:proofErr w:type="gramStart"/>
      <w:r w:rsidRPr="00BF7605">
        <w:rPr>
          <w:rFonts w:ascii="Lucida Bright" w:eastAsia="Times New Roman" w:hAnsi="Lucida Bright" w:cs="Times New Roman"/>
          <w:color w:val="000000"/>
          <w:sz w:val="20"/>
          <w:szCs w:val="20"/>
          <w:lang w:val="en-US" w:eastAsia="tr-TR"/>
        </w:rPr>
        <w:t>,</w:t>
      </w:r>
      <w:r w:rsidRPr="00BF7605">
        <w:rPr>
          <w:rFonts w:ascii="Times New Roman" w:eastAsia="Times New Roman" w:hAnsi="Times New Roman" w:cs="Times New Roman"/>
          <w:color w:val="000000"/>
          <w:sz w:val="20"/>
          <w:szCs w:val="20"/>
          <w:lang w:val="en-US" w:eastAsia="tr-TR"/>
        </w:rPr>
        <w:t>İ</w:t>
      </w:r>
      <w:r w:rsidRPr="00BF7605">
        <w:rPr>
          <w:rFonts w:ascii="Lucida Bright" w:eastAsia="Times New Roman" w:hAnsi="Lucida Bright" w:cs="Times New Roman"/>
          <w:color w:val="000000"/>
          <w:sz w:val="20"/>
          <w:szCs w:val="20"/>
          <w:lang w:val="en-US" w:eastAsia="tr-TR"/>
        </w:rPr>
        <w:t>.S.</w:t>
      </w:r>
      <w:proofErr w:type="spellStart"/>
      <w:r w:rsidRPr="00BF7605">
        <w:rPr>
          <w:rFonts w:ascii="Lucida Bright" w:eastAsia="Times New Roman" w:hAnsi="Lucida Bright" w:cs="Times New Roman"/>
          <w:color w:val="000000"/>
          <w:sz w:val="20"/>
          <w:szCs w:val="20"/>
          <w:lang w:val="en-US" w:eastAsia="tr-TR"/>
        </w:rPr>
        <w:t>Güloglu</w:t>
      </w:r>
      <w:proofErr w:type="spellEnd"/>
      <w:proofErr w:type="gramEnd"/>
      <w:r w:rsidRPr="00BF7605">
        <w:rPr>
          <w:rFonts w:ascii="Lucida Bright" w:eastAsia="Times New Roman" w:hAnsi="Lucida Bright" w:cs="Times New Roman"/>
          <w:color w:val="000000"/>
          <w:sz w:val="20"/>
          <w:szCs w:val="20"/>
          <w:lang w:val="en-US" w:eastAsia="tr-TR"/>
        </w:rPr>
        <w:t>,”</w:t>
      </w:r>
      <w:r w:rsidRPr="00BF7605">
        <w:rPr>
          <w:rFonts w:ascii="Lucida Bright" w:eastAsia="Times New Roman" w:hAnsi="Lucida Bright" w:cs="Times New Roman"/>
          <w:i/>
          <w:iCs/>
          <w:color w:val="000000"/>
          <w:sz w:val="20"/>
          <w:szCs w:val="20"/>
          <w:lang w:val="en-US" w:eastAsia="tr-TR"/>
        </w:rPr>
        <w:t xml:space="preserve">Action of a </w:t>
      </w:r>
      <w:proofErr w:type="spellStart"/>
      <w:r w:rsidRPr="00BF7605">
        <w:rPr>
          <w:rFonts w:ascii="Lucida Bright" w:eastAsia="Times New Roman" w:hAnsi="Lucida Bright" w:cs="Times New Roman"/>
          <w:i/>
          <w:iCs/>
          <w:color w:val="000000"/>
          <w:sz w:val="20"/>
          <w:szCs w:val="20"/>
          <w:lang w:val="en-US" w:eastAsia="tr-TR"/>
        </w:rPr>
        <w:t>Frobenius</w:t>
      </w:r>
      <w:proofErr w:type="spellEnd"/>
      <w:r w:rsidRPr="00BF7605">
        <w:rPr>
          <w:rFonts w:ascii="Lucida Bright" w:eastAsia="Times New Roman" w:hAnsi="Lucida Bright" w:cs="Times New Roman"/>
          <w:i/>
          <w:iCs/>
          <w:color w:val="000000"/>
          <w:sz w:val="20"/>
          <w:szCs w:val="20"/>
          <w:lang w:val="en-US" w:eastAsia="tr-TR"/>
        </w:rPr>
        <w:t>-like group</w:t>
      </w:r>
      <w:r w:rsidRPr="00BF7605">
        <w:rPr>
          <w:rFonts w:ascii="Lucida Bright" w:eastAsia="Times New Roman" w:hAnsi="Lucida Bright" w:cs="Times New Roman"/>
          <w:color w:val="000000"/>
          <w:sz w:val="20"/>
          <w:szCs w:val="20"/>
          <w:lang w:val="en-US" w:eastAsia="tr-TR"/>
        </w:rPr>
        <w:t>”, J. Algebra 402 (2014), 533-543</w:t>
      </w:r>
    </w:p>
    <w:p w:rsidR="00BF7605" w:rsidRPr="00BF7605" w:rsidRDefault="00BF7605" w:rsidP="00BF7605">
      <w:pPr>
        <w:shd w:val="clear" w:color="auto" w:fill="FFFFFF"/>
        <w:spacing w:before="210" w:after="210" w:line="240" w:lineRule="auto"/>
        <w:rPr>
          <w:rFonts w:ascii="Times New Roman" w:eastAsia="Times New Roman" w:hAnsi="Times New Roman" w:cs="Times New Roman"/>
          <w:sz w:val="20"/>
          <w:szCs w:val="20"/>
          <w:lang w:eastAsia="tr-TR"/>
        </w:rPr>
      </w:pPr>
      <w:proofErr w:type="spellStart"/>
      <w:r w:rsidRPr="00BF7605">
        <w:rPr>
          <w:rFonts w:ascii="Lucida Bright" w:eastAsia="Times New Roman" w:hAnsi="Lucida Bright" w:cs="Times New Roman"/>
          <w:color w:val="000000"/>
          <w:sz w:val="20"/>
          <w:szCs w:val="20"/>
          <w:lang w:val="en-US" w:eastAsia="tr-TR"/>
        </w:rPr>
        <w:t>G.Ercan</w:t>
      </w:r>
      <w:proofErr w:type="gramStart"/>
      <w:r w:rsidRPr="00BF7605">
        <w:rPr>
          <w:rFonts w:ascii="Lucida Bright" w:eastAsia="Times New Roman" w:hAnsi="Lucida Bright" w:cs="Times New Roman"/>
          <w:color w:val="000000"/>
          <w:sz w:val="20"/>
          <w:szCs w:val="20"/>
          <w:lang w:val="en-US" w:eastAsia="tr-TR"/>
        </w:rPr>
        <w:t>,</w:t>
      </w:r>
      <w:r w:rsidRPr="00BF7605">
        <w:rPr>
          <w:rFonts w:ascii="Times New Roman" w:eastAsia="Times New Roman" w:hAnsi="Times New Roman" w:cs="Times New Roman"/>
          <w:color w:val="000000"/>
          <w:sz w:val="20"/>
          <w:szCs w:val="20"/>
          <w:lang w:val="en-US" w:eastAsia="tr-TR"/>
        </w:rPr>
        <w:t>İ</w:t>
      </w:r>
      <w:r w:rsidRPr="00BF7605">
        <w:rPr>
          <w:rFonts w:ascii="Lucida Bright" w:eastAsia="Times New Roman" w:hAnsi="Lucida Bright" w:cs="Times New Roman"/>
          <w:color w:val="000000"/>
          <w:sz w:val="20"/>
          <w:szCs w:val="20"/>
          <w:lang w:val="en-US" w:eastAsia="tr-TR"/>
        </w:rPr>
        <w:t>.S.Güloglu</w:t>
      </w:r>
      <w:proofErr w:type="spellEnd"/>
      <w:proofErr w:type="gramEnd"/>
      <w:r w:rsidRPr="00BF7605">
        <w:rPr>
          <w:rFonts w:ascii="Lucida Bright" w:eastAsia="Times New Roman" w:hAnsi="Lucida Bright" w:cs="Times New Roman"/>
          <w:color w:val="000000"/>
          <w:sz w:val="20"/>
          <w:szCs w:val="20"/>
          <w:lang w:val="en-US" w:eastAsia="tr-TR"/>
        </w:rPr>
        <w:t>, “</w:t>
      </w:r>
      <w:r w:rsidRPr="00BF7605">
        <w:rPr>
          <w:rFonts w:ascii="Lucida Bright" w:eastAsia="Times New Roman" w:hAnsi="Lucida Bright" w:cs="Times New Roman"/>
          <w:i/>
          <w:iCs/>
          <w:color w:val="000000"/>
          <w:sz w:val="20"/>
          <w:szCs w:val="20"/>
          <w:lang w:val="en-US" w:eastAsia="tr-TR"/>
        </w:rPr>
        <w:t xml:space="preserve">Action of a </w:t>
      </w:r>
      <w:proofErr w:type="spellStart"/>
      <w:r w:rsidRPr="00BF7605">
        <w:rPr>
          <w:rFonts w:ascii="Lucida Bright" w:eastAsia="Times New Roman" w:hAnsi="Lucida Bright" w:cs="Times New Roman"/>
          <w:i/>
          <w:iCs/>
          <w:color w:val="000000"/>
          <w:sz w:val="20"/>
          <w:szCs w:val="20"/>
          <w:lang w:val="en-US" w:eastAsia="tr-TR"/>
        </w:rPr>
        <w:t>Frobenius</w:t>
      </w:r>
      <w:proofErr w:type="spellEnd"/>
      <w:r w:rsidRPr="00BF7605">
        <w:rPr>
          <w:rFonts w:ascii="Lucida Bright" w:eastAsia="Times New Roman" w:hAnsi="Lucida Bright" w:cs="Times New Roman"/>
          <w:i/>
          <w:iCs/>
          <w:color w:val="000000"/>
          <w:sz w:val="20"/>
          <w:szCs w:val="20"/>
          <w:lang w:val="en-US" w:eastAsia="tr-TR"/>
        </w:rPr>
        <w:t>-like group with fixed-point-free kernel</w:t>
      </w:r>
      <w:r w:rsidRPr="00BF7605">
        <w:rPr>
          <w:rFonts w:ascii="Lucida Bright" w:eastAsia="Times New Roman" w:hAnsi="Lucida Bright" w:cs="Times New Roman"/>
          <w:color w:val="000000"/>
          <w:sz w:val="20"/>
          <w:szCs w:val="20"/>
          <w:lang w:val="en-US" w:eastAsia="tr-TR"/>
        </w:rPr>
        <w:t>”,</w:t>
      </w:r>
      <w:proofErr w:type="spellStart"/>
      <w:r w:rsidRPr="00BF7605">
        <w:rPr>
          <w:rFonts w:ascii="Lucida Bright" w:eastAsia="Times New Roman" w:hAnsi="Lucida Bright" w:cs="Times New Roman"/>
          <w:color w:val="000000"/>
          <w:sz w:val="20"/>
          <w:szCs w:val="20"/>
          <w:lang w:val="en-US" w:eastAsia="tr-TR"/>
        </w:rPr>
        <w:t>J.Group</w:t>
      </w:r>
      <w:proofErr w:type="spellEnd"/>
      <w:r w:rsidRPr="00BF7605">
        <w:rPr>
          <w:rFonts w:ascii="Lucida Bright" w:eastAsia="Times New Roman" w:hAnsi="Lucida Bright" w:cs="Times New Roman"/>
          <w:color w:val="000000"/>
          <w:sz w:val="20"/>
          <w:szCs w:val="20"/>
          <w:lang w:val="en-US" w:eastAsia="tr-TR"/>
        </w:rPr>
        <w:t xml:space="preserve"> Theory 17 (2014),863-873</w:t>
      </w:r>
    </w:p>
    <w:p w:rsidR="00BF7605" w:rsidRPr="00BF7605" w:rsidRDefault="00BF7605" w:rsidP="00BF7605">
      <w:pPr>
        <w:shd w:val="clear" w:color="auto" w:fill="FFFFFF"/>
        <w:spacing w:before="210" w:after="210" w:line="240" w:lineRule="auto"/>
        <w:rPr>
          <w:rFonts w:ascii="Times New Roman" w:eastAsia="Times New Roman" w:hAnsi="Times New Roman" w:cs="Times New Roman"/>
          <w:sz w:val="20"/>
          <w:szCs w:val="20"/>
          <w:lang w:eastAsia="tr-TR"/>
        </w:rPr>
      </w:pPr>
      <w:proofErr w:type="spellStart"/>
      <w:r w:rsidRPr="00BF7605">
        <w:rPr>
          <w:rFonts w:ascii="Lucida Bright" w:eastAsia="Times New Roman" w:hAnsi="Lucida Bright" w:cs="Times New Roman"/>
          <w:color w:val="000000"/>
          <w:sz w:val="20"/>
          <w:szCs w:val="20"/>
          <w:lang w:val="en-US" w:eastAsia="tr-TR"/>
        </w:rPr>
        <w:t>G.Ercan</w:t>
      </w:r>
      <w:proofErr w:type="gramStart"/>
      <w:r w:rsidRPr="00BF7605">
        <w:rPr>
          <w:rFonts w:ascii="Lucida Bright" w:eastAsia="Times New Roman" w:hAnsi="Lucida Bright" w:cs="Times New Roman"/>
          <w:color w:val="000000"/>
          <w:sz w:val="20"/>
          <w:szCs w:val="20"/>
          <w:lang w:val="en-US" w:eastAsia="tr-TR"/>
        </w:rPr>
        <w:t>,</w:t>
      </w:r>
      <w:r w:rsidRPr="00BF7605">
        <w:rPr>
          <w:rFonts w:ascii="Times New Roman" w:eastAsia="Times New Roman" w:hAnsi="Times New Roman" w:cs="Times New Roman"/>
          <w:color w:val="000000"/>
          <w:sz w:val="20"/>
          <w:szCs w:val="20"/>
          <w:lang w:val="en-US" w:eastAsia="tr-TR"/>
        </w:rPr>
        <w:t>İ</w:t>
      </w:r>
      <w:r w:rsidRPr="00BF7605">
        <w:rPr>
          <w:rFonts w:ascii="Lucida Bright" w:eastAsia="Times New Roman" w:hAnsi="Lucida Bright" w:cs="Times New Roman"/>
          <w:color w:val="000000"/>
          <w:sz w:val="20"/>
          <w:szCs w:val="20"/>
          <w:lang w:val="en-US" w:eastAsia="tr-TR"/>
        </w:rPr>
        <w:t>.S.Güloglu,E.I.Khukhro</w:t>
      </w:r>
      <w:proofErr w:type="gramEnd"/>
      <w:r w:rsidRPr="00BF7605">
        <w:rPr>
          <w:rFonts w:ascii="Lucida Bright" w:eastAsia="Times New Roman" w:hAnsi="Lucida Bright" w:cs="Times New Roman"/>
          <w:color w:val="000000"/>
          <w:sz w:val="20"/>
          <w:szCs w:val="20"/>
          <w:lang w:val="en-US" w:eastAsia="tr-TR"/>
        </w:rPr>
        <w:t>”</w:t>
      </w:r>
      <w:r w:rsidRPr="00BF7605">
        <w:rPr>
          <w:rFonts w:ascii="Lucida Bright" w:eastAsia="Times New Roman" w:hAnsi="Lucida Bright" w:cs="Times New Roman"/>
          <w:i/>
          <w:iCs/>
          <w:color w:val="000000"/>
          <w:sz w:val="20"/>
          <w:szCs w:val="20"/>
          <w:lang w:val="en-US" w:eastAsia="tr-TR"/>
        </w:rPr>
        <w:t>Rank</w:t>
      </w:r>
      <w:proofErr w:type="spellEnd"/>
      <w:r w:rsidRPr="00BF7605">
        <w:rPr>
          <w:rFonts w:ascii="Lucida Bright" w:eastAsia="Times New Roman" w:hAnsi="Lucida Bright" w:cs="Times New Roman"/>
          <w:i/>
          <w:iCs/>
          <w:color w:val="000000"/>
          <w:sz w:val="20"/>
          <w:szCs w:val="20"/>
          <w:lang w:val="en-US" w:eastAsia="tr-TR"/>
        </w:rPr>
        <w:t xml:space="preserve"> and order of a finite group admitting a </w:t>
      </w:r>
      <w:proofErr w:type="spellStart"/>
      <w:r w:rsidRPr="00BF7605">
        <w:rPr>
          <w:rFonts w:ascii="Lucida Bright" w:eastAsia="Times New Roman" w:hAnsi="Lucida Bright" w:cs="Times New Roman"/>
          <w:i/>
          <w:iCs/>
          <w:color w:val="000000"/>
          <w:sz w:val="20"/>
          <w:szCs w:val="20"/>
          <w:lang w:val="en-US" w:eastAsia="tr-TR"/>
        </w:rPr>
        <w:t>Frobenius</w:t>
      </w:r>
      <w:proofErr w:type="spellEnd"/>
      <w:r w:rsidRPr="00BF7605">
        <w:rPr>
          <w:rFonts w:ascii="Lucida Bright" w:eastAsia="Times New Roman" w:hAnsi="Lucida Bright" w:cs="Times New Roman"/>
          <w:i/>
          <w:iCs/>
          <w:color w:val="000000"/>
          <w:sz w:val="20"/>
          <w:szCs w:val="20"/>
          <w:lang w:val="en-US" w:eastAsia="tr-TR"/>
        </w:rPr>
        <w:t xml:space="preserve">-like group of </w:t>
      </w:r>
      <w:proofErr w:type="spellStart"/>
      <w:r w:rsidRPr="00BF7605">
        <w:rPr>
          <w:rFonts w:ascii="Lucida Bright" w:eastAsia="Times New Roman" w:hAnsi="Lucida Bright" w:cs="Times New Roman"/>
          <w:i/>
          <w:iCs/>
          <w:color w:val="000000"/>
          <w:sz w:val="20"/>
          <w:szCs w:val="20"/>
          <w:lang w:val="en-US" w:eastAsia="tr-TR"/>
        </w:rPr>
        <w:t>automorphisms</w:t>
      </w:r>
      <w:proofErr w:type="spellEnd"/>
      <w:r w:rsidRPr="00BF7605">
        <w:rPr>
          <w:rFonts w:ascii="Lucida Bright" w:eastAsia="Times New Roman" w:hAnsi="Lucida Bright" w:cs="Times New Roman"/>
          <w:i/>
          <w:iCs/>
          <w:color w:val="000000"/>
          <w:sz w:val="20"/>
          <w:szCs w:val="20"/>
          <w:lang w:val="en-US" w:eastAsia="tr-TR"/>
        </w:rPr>
        <w:t xml:space="preserve">”, </w:t>
      </w:r>
      <w:r w:rsidRPr="00BF7605">
        <w:rPr>
          <w:rFonts w:ascii="Lucida Bright" w:eastAsia="Times New Roman" w:hAnsi="Lucida Bright" w:cs="Times New Roman"/>
          <w:color w:val="000000"/>
          <w:sz w:val="20"/>
          <w:szCs w:val="20"/>
          <w:lang w:val="en-US" w:eastAsia="tr-TR"/>
        </w:rPr>
        <w:t>Algebra and Logic 53 (2014), 258-263</w:t>
      </w:r>
    </w:p>
    <w:p w:rsidR="00BF7605" w:rsidRPr="00BF7605" w:rsidRDefault="00BF7605" w:rsidP="00BF7605">
      <w:pPr>
        <w:shd w:val="clear" w:color="auto" w:fill="FFFFFF"/>
        <w:spacing w:before="210" w:after="210" w:line="240" w:lineRule="auto"/>
        <w:rPr>
          <w:rFonts w:ascii="Times New Roman" w:eastAsia="Times New Roman" w:hAnsi="Times New Roman" w:cs="Times New Roman"/>
          <w:sz w:val="20"/>
          <w:szCs w:val="20"/>
          <w:lang w:eastAsia="tr-TR"/>
        </w:rPr>
      </w:pPr>
      <w:r w:rsidRPr="00BF7605">
        <w:rPr>
          <w:rFonts w:ascii="Lucida Bright" w:eastAsia="Times New Roman" w:hAnsi="Lucida Bright" w:cs="Times New Roman"/>
          <w:i/>
          <w:iCs/>
          <w:color w:val="000000"/>
          <w:sz w:val="20"/>
          <w:szCs w:val="20"/>
          <w:shd w:val="clear" w:color="auto" w:fill="FFFFFF"/>
          <w:lang w:eastAsia="tr-TR"/>
        </w:rPr>
        <w:t>-----------------------------------------------------------------------------------------------------------------------------------</w:t>
      </w:r>
      <w:r w:rsidRPr="00BF7605">
        <w:rPr>
          <w:rFonts w:ascii="Lucida Bright" w:eastAsia="Times New Roman" w:hAnsi="Lucida Bright" w:cs="Times New Roman"/>
          <w:color w:val="000000"/>
          <w:sz w:val="20"/>
          <w:szCs w:val="20"/>
          <w:shd w:val="clear" w:color="auto" w:fill="FFFFFF"/>
          <w:lang w:val="en-US" w:eastAsia="tr-TR"/>
        </w:rPr>
        <w:t> </w:t>
      </w:r>
    </w:p>
    <w:p w:rsidR="00BF7605" w:rsidRPr="00BF7605" w:rsidRDefault="00BF7605" w:rsidP="00BF7605">
      <w:pPr>
        <w:shd w:val="clear" w:color="auto" w:fill="FFFFFF"/>
        <w:spacing w:before="210" w:after="210" w:line="240" w:lineRule="auto"/>
        <w:rPr>
          <w:rFonts w:ascii="Times New Roman" w:eastAsia="Times New Roman" w:hAnsi="Times New Roman" w:cs="Times New Roman"/>
          <w:sz w:val="20"/>
          <w:szCs w:val="20"/>
          <w:lang w:eastAsia="tr-TR"/>
        </w:rPr>
      </w:pPr>
      <w:r w:rsidRPr="00BF7605">
        <w:rPr>
          <w:rFonts w:ascii="Lucida Bright" w:eastAsia="Times New Roman" w:hAnsi="Lucida Bright" w:cs="Times New Roman"/>
          <w:color w:val="000000"/>
          <w:sz w:val="20"/>
          <w:szCs w:val="20"/>
          <w:shd w:val="clear" w:color="auto" w:fill="FFFFFF"/>
          <w:lang w:val="en-US" w:eastAsia="tr-TR"/>
        </w:rPr>
        <w:t> </w:t>
      </w:r>
      <w:proofErr w:type="spellStart"/>
      <w:r w:rsidRPr="00BF7605">
        <w:rPr>
          <w:rFonts w:ascii="Lucida Bright" w:eastAsia="Times New Roman" w:hAnsi="Lucida Bright" w:cs="Times New Roman"/>
          <w:b/>
          <w:bCs/>
          <w:i/>
          <w:iCs/>
          <w:color w:val="000000"/>
          <w:sz w:val="20"/>
          <w:szCs w:val="20"/>
          <w:u w:val="single"/>
          <w:shd w:val="clear" w:color="auto" w:fill="FFFFFF"/>
          <w:lang w:val="en-US" w:eastAsia="tr-TR"/>
        </w:rPr>
        <w:t>Pavel</w:t>
      </w:r>
      <w:proofErr w:type="spellEnd"/>
      <w:r w:rsidRPr="00BF7605">
        <w:rPr>
          <w:rFonts w:ascii="Lucida Bright" w:eastAsia="Times New Roman" w:hAnsi="Lucida Bright" w:cs="Times New Roman"/>
          <w:b/>
          <w:bCs/>
          <w:i/>
          <w:iCs/>
          <w:color w:val="000000"/>
          <w:sz w:val="20"/>
          <w:szCs w:val="20"/>
          <w:u w:val="single"/>
          <w:shd w:val="clear" w:color="auto" w:fill="FFFFFF"/>
          <w:lang w:val="en-US" w:eastAsia="tr-TR"/>
        </w:rPr>
        <w:t xml:space="preserve"> </w:t>
      </w:r>
      <w:proofErr w:type="spellStart"/>
      <w:r w:rsidRPr="00BF7605">
        <w:rPr>
          <w:rFonts w:ascii="Lucida Bright" w:eastAsia="Times New Roman" w:hAnsi="Lucida Bright" w:cs="Times New Roman"/>
          <w:b/>
          <w:bCs/>
          <w:i/>
          <w:iCs/>
          <w:color w:val="000000"/>
          <w:sz w:val="20"/>
          <w:szCs w:val="20"/>
          <w:u w:val="single"/>
          <w:shd w:val="clear" w:color="auto" w:fill="FFFFFF"/>
          <w:lang w:val="en-US" w:eastAsia="tr-TR"/>
        </w:rPr>
        <w:t>Shumyatsky</w:t>
      </w:r>
      <w:proofErr w:type="spellEnd"/>
      <w:r w:rsidRPr="00BF7605">
        <w:rPr>
          <w:rFonts w:ascii="Lucida Bright" w:eastAsia="Times New Roman" w:hAnsi="Lucida Bright" w:cs="Times New Roman"/>
          <w:i/>
          <w:iCs/>
          <w:color w:val="000000"/>
          <w:sz w:val="20"/>
          <w:szCs w:val="20"/>
          <w:u w:val="single"/>
          <w:shd w:val="clear" w:color="auto" w:fill="FFFFFF"/>
          <w:lang w:val="en-US" w:eastAsia="tr-TR"/>
        </w:rPr>
        <w:t xml:space="preserve">, </w:t>
      </w:r>
      <w:proofErr w:type="gramStart"/>
      <w:r w:rsidRPr="00BF7605">
        <w:rPr>
          <w:rFonts w:ascii="Lucida Bright" w:eastAsia="Times New Roman" w:hAnsi="Lucida Bright" w:cs="Times New Roman"/>
          <w:i/>
          <w:iCs/>
          <w:color w:val="000000"/>
          <w:sz w:val="20"/>
          <w:szCs w:val="20"/>
          <w:u w:val="single"/>
          <w:shd w:val="clear" w:color="auto" w:fill="FFFFFF"/>
          <w:lang w:val="en-US" w:eastAsia="tr-TR"/>
        </w:rPr>
        <w:t>On</w:t>
      </w:r>
      <w:proofErr w:type="gramEnd"/>
      <w:r w:rsidRPr="00BF7605">
        <w:rPr>
          <w:rFonts w:ascii="Lucida Bright" w:eastAsia="Times New Roman" w:hAnsi="Lucida Bright" w:cs="Times New Roman"/>
          <w:i/>
          <w:iCs/>
          <w:color w:val="000000"/>
          <w:sz w:val="20"/>
          <w:szCs w:val="20"/>
          <w:u w:val="single"/>
          <w:shd w:val="clear" w:color="auto" w:fill="FFFFFF"/>
          <w:lang w:val="en-US" w:eastAsia="tr-TR"/>
        </w:rPr>
        <w:t xml:space="preserve"> the length of a finite group.</w:t>
      </w:r>
      <w:r w:rsidRPr="00BF7605">
        <w:rPr>
          <w:rFonts w:ascii="Lucida Bright" w:eastAsia="Times New Roman" w:hAnsi="Lucida Bright" w:cs="Times New Roman"/>
          <w:color w:val="000000"/>
          <w:sz w:val="20"/>
          <w:szCs w:val="20"/>
          <w:shd w:val="clear" w:color="auto" w:fill="FFFFFF"/>
          <w:lang w:val="en-US" w:eastAsia="tr-TR"/>
        </w:rPr>
        <w:t xml:space="preserve"> </w:t>
      </w:r>
      <w:r w:rsidRPr="00BF7605">
        <w:rPr>
          <w:rFonts w:ascii="Lucida Bright" w:eastAsia="Times New Roman" w:hAnsi="Lucida Bright" w:cs="Times New Roman"/>
          <w:color w:val="000000"/>
          <w:sz w:val="20"/>
          <w:szCs w:val="20"/>
          <w:shd w:val="clear" w:color="auto" w:fill="FFFFFF"/>
          <w:lang w:val="en-US" w:eastAsia="tr-TR"/>
        </w:rPr>
        <w:t xml:space="preserve">Every finite group G has a normal series each of whose factors either is soluble or is a direct product of </w:t>
      </w:r>
      <w:proofErr w:type="spellStart"/>
      <w:r w:rsidRPr="00BF7605">
        <w:rPr>
          <w:rFonts w:ascii="Lucida Bright" w:eastAsia="Times New Roman" w:hAnsi="Lucida Bright" w:cs="Times New Roman"/>
          <w:color w:val="000000"/>
          <w:sz w:val="20"/>
          <w:szCs w:val="20"/>
          <w:shd w:val="clear" w:color="auto" w:fill="FFFFFF"/>
          <w:lang w:val="en-US" w:eastAsia="tr-TR"/>
        </w:rPr>
        <w:t>nonabelian</w:t>
      </w:r>
      <w:proofErr w:type="spellEnd"/>
      <w:r w:rsidRPr="00BF7605">
        <w:rPr>
          <w:rFonts w:ascii="Lucida Bright" w:eastAsia="Times New Roman" w:hAnsi="Lucida Bright" w:cs="Times New Roman"/>
          <w:color w:val="000000"/>
          <w:sz w:val="20"/>
          <w:szCs w:val="20"/>
          <w:shd w:val="clear" w:color="auto" w:fill="FFFFFF"/>
          <w:lang w:val="en-US" w:eastAsia="tr-TR"/>
        </w:rPr>
        <w:t xml:space="preserve"> simple groups. The </w:t>
      </w:r>
      <w:proofErr w:type="spellStart"/>
      <w:r w:rsidRPr="00BF7605">
        <w:rPr>
          <w:rFonts w:ascii="Lucida Bright" w:eastAsia="Times New Roman" w:hAnsi="Lucida Bright" w:cs="Times New Roman"/>
          <w:color w:val="000000"/>
          <w:sz w:val="20"/>
          <w:szCs w:val="20"/>
          <w:shd w:val="clear" w:color="auto" w:fill="FFFFFF"/>
          <w:lang w:val="en-US" w:eastAsia="tr-TR"/>
        </w:rPr>
        <w:t>nonsoluble</w:t>
      </w:r>
      <w:proofErr w:type="spellEnd"/>
      <w:r w:rsidRPr="00BF7605">
        <w:rPr>
          <w:rFonts w:ascii="Lucida Bright" w:eastAsia="Times New Roman" w:hAnsi="Lucida Bright" w:cs="Times New Roman"/>
          <w:color w:val="000000"/>
          <w:sz w:val="20"/>
          <w:szCs w:val="20"/>
          <w:shd w:val="clear" w:color="auto" w:fill="FFFFFF"/>
          <w:lang w:val="en-US" w:eastAsia="tr-TR"/>
        </w:rPr>
        <w:t xml:space="preserve"> length of G</w:t>
      </w:r>
      <w:proofErr w:type="gramStart"/>
      <w:r w:rsidRPr="00BF7605">
        <w:rPr>
          <w:rFonts w:ascii="Lucida Bright" w:eastAsia="Times New Roman" w:hAnsi="Lucida Bright" w:cs="Times New Roman"/>
          <w:color w:val="000000"/>
          <w:sz w:val="20"/>
          <w:szCs w:val="20"/>
          <w:shd w:val="clear" w:color="auto" w:fill="FFFFFF"/>
          <w:lang w:val="en-US" w:eastAsia="tr-TR"/>
        </w:rPr>
        <w:t>  is</w:t>
      </w:r>
      <w:proofErr w:type="gramEnd"/>
      <w:r w:rsidRPr="00BF7605">
        <w:rPr>
          <w:rFonts w:ascii="Lucida Bright" w:eastAsia="Times New Roman" w:hAnsi="Lucida Bright" w:cs="Times New Roman"/>
          <w:color w:val="000000"/>
          <w:sz w:val="20"/>
          <w:szCs w:val="20"/>
          <w:shd w:val="clear" w:color="auto" w:fill="FFFFFF"/>
          <w:lang w:val="en-US" w:eastAsia="tr-TR"/>
        </w:rPr>
        <w:t xml:space="preserve"> defined as the minimum number of </w:t>
      </w:r>
      <w:proofErr w:type="spellStart"/>
      <w:r w:rsidRPr="00BF7605">
        <w:rPr>
          <w:rFonts w:ascii="Lucida Bright" w:eastAsia="Times New Roman" w:hAnsi="Lucida Bright" w:cs="Times New Roman"/>
          <w:color w:val="000000"/>
          <w:sz w:val="20"/>
          <w:szCs w:val="20"/>
          <w:shd w:val="clear" w:color="auto" w:fill="FFFFFF"/>
          <w:lang w:val="en-US" w:eastAsia="tr-TR"/>
        </w:rPr>
        <w:t>nonsoluble</w:t>
      </w:r>
      <w:proofErr w:type="spellEnd"/>
      <w:r w:rsidRPr="00BF7605">
        <w:rPr>
          <w:rFonts w:ascii="Lucida Bright" w:eastAsia="Times New Roman" w:hAnsi="Lucida Bright" w:cs="Times New Roman"/>
          <w:color w:val="000000"/>
          <w:sz w:val="20"/>
          <w:szCs w:val="20"/>
          <w:shd w:val="clear" w:color="auto" w:fill="FFFFFF"/>
          <w:lang w:val="en-US" w:eastAsia="tr-TR"/>
        </w:rPr>
        <w:t xml:space="preserve"> factors in a series of this kind. Upper bounds for the </w:t>
      </w:r>
      <w:proofErr w:type="spellStart"/>
      <w:r w:rsidRPr="00BF7605">
        <w:rPr>
          <w:rFonts w:ascii="Lucida Bright" w:eastAsia="Times New Roman" w:hAnsi="Lucida Bright" w:cs="Times New Roman"/>
          <w:color w:val="000000"/>
          <w:sz w:val="20"/>
          <w:szCs w:val="20"/>
          <w:shd w:val="clear" w:color="auto" w:fill="FFFFFF"/>
          <w:lang w:val="en-US" w:eastAsia="tr-TR"/>
        </w:rPr>
        <w:t>nonsoluble</w:t>
      </w:r>
      <w:proofErr w:type="spellEnd"/>
      <w:r w:rsidRPr="00BF7605">
        <w:rPr>
          <w:rFonts w:ascii="Lucida Bright" w:eastAsia="Times New Roman" w:hAnsi="Lucida Bright" w:cs="Times New Roman"/>
          <w:color w:val="000000"/>
          <w:sz w:val="20"/>
          <w:szCs w:val="20"/>
          <w:shd w:val="clear" w:color="auto" w:fill="FFFFFF"/>
          <w:lang w:val="en-US" w:eastAsia="tr-TR"/>
        </w:rPr>
        <w:t xml:space="preserve"> length appear in the study of various problems on finite, residually finite, and </w:t>
      </w:r>
      <w:proofErr w:type="spellStart"/>
      <w:r w:rsidRPr="00BF7605">
        <w:rPr>
          <w:rFonts w:ascii="Lucida Bright" w:eastAsia="Times New Roman" w:hAnsi="Lucida Bright" w:cs="Times New Roman"/>
          <w:color w:val="000000"/>
          <w:sz w:val="20"/>
          <w:szCs w:val="20"/>
          <w:shd w:val="clear" w:color="auto" w:fill="FFFFFF"/>
          <w:lang w:val="en-US" w:eastAsia="tr-TR"/>
        </w:rPr>
        <w:t>profinite</w:t>
      </w:r>
      <w:proofErr w:type="spellEnd"/>
      <w:r w:rsidRPr="00BF7605">
        <w:rPr>
          <w:rFonts w:ascii="Lucida Bright" w:eastAsia="Times New Roman" w:hAnsi="Lucida Bright" w:cs="Times New Roman"/>
          <w:color w:val="000000"/>
          <w:sz w:val="20"/>
          <w:szCs w:val="20"/>
          <w:shd w:val="clear" w:color="auto" w:fill="FFFFFF"/>
          <w:lang w:val="en-US" w:eastAsia="tr-TR"/>
        </w:rPr>
        <w:t xml:space="preserve"> groups. In particular, such bounds played important role in the Hall-</w:t>
      </w:r>
      <w:proofErr w:type="spellStart"/>
      <w:r w:rsidRPr="00BF7605">
        <w:rPr>
          <w:rFonts w:ascii="Lucida Bright" w:eastAsia="Times New Roman" w:hAnsi="Lucida Bright" w:cs="Times New Roman"/>
          <w:color w:val="000000"/>
          <w:sz w:val="20"/>
          <w:szCs w:val="20"/>
          <w:shd w:val="clear" w:color="auto" w:fill="FFFFFF"/>
          <w:lang w:val="en-US" w:eastAsia="tr-TR"/>
        </w:rPr>
        <w:t>Higman</w:t>
      </w:r>
      <w:proofErr w:type="spellEnd"/>
      <w:r w:rsidRPr="00BF7605">
        <w:rPr>
          <w:rFonts w:ascii="Lucida Bright" w:eastAsia="Times New Roman" w:hAnsi="Lucida Bright" w:cs="Times New Roman"/>
          <w:color w:val="000000"/>
          <w:sz w:val="20"/>
          <w:szCs w:val="20"/>
          <w:shd w:val="clear" w:color="auto" w:fill="FFFFFF"/>
          <w:lang w:val="en-US" w:eastAsia="tr-TR"/>
        </w:rPr>
        <w:t xml:space="preserve"> reduction theorem for the restricted Burnside problem. In the talk several new results on </w:t>
      </w:r>
      <w:proofErr w:type="spellStart"/>
      <w:r w:rsidRPr="00BF7605">
        <w:rPr>
          <w:rFonts w:ascii="Lucida Bright" w:eastAsia="Times New Roman" w:hAnsi="Lucida Bright" w:cs="Times New Roman"/>
          <w:color w:val="000000"/>
          <w:sz w:val="20"/>
          <w:szCs w:val="20"/>
          <w:shd w:val="clear" w:color="auto" w:fill="FFFFFF"/>
          <w:lang w:val="en-US" w:eastAsia="tr-TR"/>
        </w:rPr>
        <w:t>nonsoluble</w:t>
      </w:r>
      <w:proofErr w:type="spellEnd"/>
      <w:r w:rsidRPr="00BF7605">
        <w:rPr>
          <w:rFonts w:ascii="Lucida Bright" w:eastAsia="Times New Roman" w:hAnsi="Lucida Bright" w:cs="Times New Roman"/>
          <w:color w:val="000000"/>
          <w:sz w:val="20"/>
          <w:szCs w:val="20"/>
          <w:shd w:val="clear" w:color="auto" w:fill="FFFFFF"/>
          <w:lang w:val="en-US" w:eastAsia="tr-TR"/>
        </w:rPr>
        <w:t xml:space="preserve"> length will be discussed. Most of the results were obtained during recent collaboration with </w:t>
      </w:r>
      <w:proofErr w:type="spellStart"/>
      <w:r w:rsidRPr="00BF7605">
        <w:rPr>
          <w:rFonts w:ascii="Lucida Bright" w:eastAsia="Times New Roman" w:hAnsi="Lucida Bright" w:cs="Times New Roman"/>
          <w:color w:val="000000"/>
          <w:sz w:val="20"/>
          <w:szCs w:val="20"/>
          <w:shd w:val="clear" w:color="auto" w:fill="FFFFFF"/>
          <w:lang w:val="en-US" w:eastAsia="tr-TR"/>
        </w:rPr>
        <w:t>Khukhro</w:t>
      </w:r>
      <w:proofErr w:type="spellEnd"/>
      <w:r w:rsidRPr="00BF7605">
        <w:rPr>
          <w:rFonts w:ascii="Lucida Bright" w:eastAsia="Times New Roman" w:hAnsi="Lucida Bright" w:cs="Times New Roman"/>
          <w:color w:val="000000"/>
          <w:sz w:val="20"/>
          <w:szCs w:val="20"/>
          <w:shd w:val="clear" w:color="auto" w:fill="FFFFFF"/>
          <w:lang w:val="en-US" w:eastAsia="tr-TR"/>
        </w:rPr>
        <w:t>.</w:t>
      </w:r>
      <w:bookmarkStart w:id="0" w:name="_GoBack"/>
      <w:bookmarkEnd w:id="0"/>
    </w:p>
    <w:p w:rsidR="00032A14" w:rsidRPr="00BF7605" w:rsidRDefault="00032A14">
      <w:pPr>
        <w:rPr>
          <w:sz w:val="20"/>
          <w:szCs w:val="20"/>
        </w:rPr>
      </w:pPr>
    </w:p>
    <w:sectPr w:rsidR="00032A14" w:rsidRPr="00BF76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605"/>
    <w:rsid w:val="00032A14"/>
    <w:rsid w:val="00BF76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0AE77-B3F3-49D2-82EA-947DBE2F7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48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Gulin</dc:creator>
  <cp:keywords/>
  <dc:description/>
  <cp:lastModifiedBy>Gulin</cp:lastModifiedBy>
  <cp:revision>1</cp:revision>
  <dcterms:created xsi:type="dcterms:W3CDTF">2015-08-05T11:32:00Z</dcterms:created>
  <dcterms:modified xsi:type="dcterms:W3CDTF">2015-08-05T11:37:00Z</dcterms:modified>
</cp:coreProperties>
</file>